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4A91C7BE" w14:textId="169536AC" w:rsidR="00A160B2" w:rsidRDefault="00B84A87" w:rsidP="006C3150">
            <w:pPr>
              <w:pStyle w:val="Heading1"/>
              <w:outlineLvl w:val="0"/>
            </w:pPr>
            <w:r>
              <w:t xml:space="preserve">Pension </w:t>
            </w:r>
            <w:r w:rsidR="003007D9">
              <w:t>Board</w:t>
            </w:r>
          </w:p>
          <w:p w14:paraId="55A88F66" w14:textId="44D52632" w:rsidR="00A160B2" w:rsidRPr="00A160B2" w:rsidRDefault="00A160B2" w:rsidP="006C3150">
            <w:pPr>
              <w:pStyle w:val="Heading1"/>
              <w:outlineLvl w:val="0"/>
              <w:rPr>
                <w:color w:val="0000FF"/>
                <w:szCs w:val="24"/>
              </w:rPr>
            </w:pP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3C898222" w:rsidR="00A160B2" w:rsidRDefault="0024456F" w:rsidP="006C3150">
            <w:pPr>
              <w:pStyle w:val="Infotext"/>
              <w:rPr>
                <w:rFonts w:cs="Arial"/>
              </w:rPr>
            </w:pPr>
            <w:r>
              <w:rPr>
                <w:rFonts w:cs="Arial"/>
              </w:rPr>
              <w:t>3 March 2022</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5914456E" w14:textId="23A13A61" w:rsidR="00A160B2" w:rsidRDefault="00CF1C4A" w:rsidP="006C3150">
            <w:pPr>
              <w:pStyle w:val="Infotext"/>
              <w:rPr>
                <w:rFonts w:cs="Arial"/>
              </w:rPr>
            </w:pPr>
            <w:r>
              <w:rPr>
                <w:rFonts w:cs="Arial"/>
              </w:rPr>
              <w:t>Review of Fund Policies</w:t>
            </w: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63C5F91B" w14:textId="7D0852B4" w:rsidR="00A160B2" w:rsidRDefault="00E2344F" w:rsidP="006C3150">
            <w:pPr>
              <w:pStyle w:val="Infotext"/>
              <w:rPr>
                <w:rFonts w:cs="Arial"/>
              </w:rPr>
            </w:pPr>
            <w:r>
              <w:rPr>
                <w:rFonts w:cs="Arial"/>
              </w:rPr>
              <w:t>Dawn Calvert – Director of Finance and Assurance</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E3163FF" w14:textId="4359B5CE" w:rsidR="00A160B2" w:rsidRDefault="00A160B2" w:rsidP="006C3150">
            <w:pPr>
              <w:pStyle w:val="Infotext"/>
              <w:rPr>
                <w:rFonts w:cs="Arial"/>
              </w:rPr>
            </w:pPr>
            <w:r>
              <w:rPr>
                <w:rFonts w:cs="Arial"/>
              </w:rPr>
              <w:t>No</w:t>
            </w:r>
          </w:p>
          <w:p w14:paraId="4C873B59" w14:textId="20851B35" w:rsidR="00A160B2" w:rsidRDefault="00A160B2" w:rsidP="00E2344F">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03A4A40A" w:rsidR="00A160B2" w:rsidRPr="001D2297" w:rsidRDefault="00180D94" w:rsidP="006C3150">
            <w:pPr>
              <w:pStyle w:val="Infotext"/>
              <w:rPr>
                <w:bCs/>
              </w:rPr>
            </w:pPr>
            <w:r w:rsidRPr="001D2297">
              <w:rPr>
                <w:bCs/>
              </w:rPr>
              <w:t>No</w:t>
            </w:r>
            <w:r w:rsidR="00A80313" w:rsidRPr="001D2297">
              <w:rPr>
                <w:bCs/>
              </w:rPr>
              <w:t>t applicable</w:t>
            </w:r>
          </w:p>
        </w:tc>
      </w:tr>
      <w:tr w:rsidR="00A160B2" w14:paraId="7C35C184" w14:textId="77777777" w:rsidTr="007855AE">
        <w:tc>
          <w:tcPr>
            <w:tcW w:w="3388"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71119F8F" w14:textId="77777777" w:rsidR="00A160B2" w:rsidRDefault="00A160B2" w:rsidP="006C3150">
            <w:pPr>
              <w:pStyle w:val="Infotext"/>
            </w:pPr>
          </w:p>
          <w:p w14:paraId="583DC1A2" w14:textId="7B7032EF" w:rsidR="00EA182B" w:rsidRDefault="00EA182B" w:rsidP="00D56DE2">
            <w:pPr>
              <w:rPr>
                <w:sz w:val="28"/>
                <w:szCs w:val="28"/>
              </w:rPr>
            </w:pPr>
            <w:r>
              <w:rPr>
                <w:sz w:val="28"/>
                <w:szCs w:val="28"/>
              </w:rPr>
              <w:t xml:space="preserve">Appendix </w:t>
            </w:r>
            <w:r w:rsidR="00464CE5">
              <w:rPr>
                <w:sz w:val="28"/>
                <w:szCs w:val="28"/>
              </w:rPr>
              <w:t>1</w:t>
            </w:r>
            <w:r>
              <w:rPr>
                <w:sz w:val="28"/>
                <w:szCs w:val="28"/>
              </w:rPr>
              <w:t xml:space="preserve"> – Draft </w:t>
            </w:r>
            <w:r w:rsidR="00C51C49">
              <w:rPr>
                <w:sz w:val="28"/>
                <w:szCs w:val="28"/>
              </w:rPr>
              <w:t>Training</w:t>
            </w:r>
            <w:r>
              <w:rPr>
                <w:sz w:val="28"/>
                <w:szCs w:val="28"/>
              </w:rPr>
              <w:t xml:space="preserve"> Policy</w:t>
            </w:r>
          </w:p>
          <w:p w14:paraId="4C232B02" w14:textId="1A5EF69C" w:rsidR="00D56DE2" w:rsidRPr="00E16F4A" w:rsidRDefault="00EA182B" w:rsidP="00D56DE2">
            <w:pPr>
              <w:rPr>
                <w:sz w:val="28"/>
                <w:szCs w:val="28"/>
              </w:rPr>
            </w:pPr>
            <w:r>
              <w:rPr>
                <w:sz w:val="28"/>
                <w:szCs w:val="28"/>
              </w:rPr>
              <w:t xml:space="preserve">Appendix </w:t>
            </w:r>
            <w:r w:rsidR="00464CE5">
              <w:rPr>
                <w:sz w:val="28"/>
                <w:szCs w:val="28"/>
              </w:rPr>
              <w:t>2</w:t>
            </w:r>
            <w:r>
              <w:rPr>
                <w:sz w:val="28"/>
                <w:szCs w:val="28"/>
              </w:rPr>
              <w:t xml:space="preserve"> – Draft </w:t>
            </w:r>
            <w:r w:rsidR="00C51C49">
              <w:rPr>
                <w:sz w:val="28"/>
                <w:szCs w:val="28"/>
              </w:rPr>
              <w:t>Fund Administration Strategy</w:t>
            </w:r>
            <w:r>
              <w:rPr>
                <w:sz w:val="28"/>
                <w:szCs w:val="28"/>
              </w:rPr>
              <w:t xml:space="preserve"> </w:t>
            </w:r>
            <w:r w:rsidR="00310B8D" w:rsidRPr="00E16F4A">
              <w:rPr>
                <w:sz w:val="28"/>
                <w:szCs w:val="28"/>
              </w:rPr>
              <w:t xml:space="preserve"> </w:t>
            </w: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7855AE">
        <w:trPr>
          <w:tblHeader/>
        </w:trPr>
        <w:tc>
          <w:tcPr>
            <w:tcW w:w="8309" w:type="dxa"/>
            <w:tcBorders>
              <w:left w:val="nil"/>
              <w:bottom w:val="nil"/>
              <w:right w:val="nil"/>
            </w:tcBorders>
          </w:tcPr>
          <w:p w14:paraId="41297458" w14:textId="4E6F12CB" w:rsidR="00E2344F" w:rsidRPr="001E6E68" w:rsidRDefault="00CF1C4A" w:rsidP="00E2344F">
            <w:pPr>
              <w:jc w:val="both"/>
              <w:rPr>
                <w:rFonts w:cs="Arial"/>
                <w:szCs w:val="24"/>
              </w:rPr>
            </w:pPr>
            <w:r>
              <w:rPr>
                <w:rFonts w:cs="Arial"/>
                <w:szCs w:val="24"/>
                <w:lang w:eastAsia="en-GB"/>
              </w:rPr>
              <w:t xml:space="preserve">This report brings </w:t>
            </w:r>
            <w:r w:rsidR="00E117CE">
              <w:rPr>
                <w:rFonts w:cs="Arial"/>
                <w:szCs w:val="24"/>
                <w:lang w:eastAsia="en-GB"/>
              </w:rPr>
              <w:t>further</w:t>
            </w:r>
            <w:r>
              <w:rPr>
                <w:rFonts w:cs="Arial"/>
                <w:szCs w:val="24"/>
                <w:lang w:eastAsia="en-GB"/>
              </w:rPr>
              <w:t xml:space="preserve"> Fund Policies for review as part of the steps required to </w:t>
            </w:r>
            <w:r w:rsidR="00D56DE2">
              <w:rPr>
                <w:rFonts w:cs="Arial"/>
                <w:szCs w:val="24"/>
                <w:lang w:eastAsia="en-GB"/>
              </w:rPr>
              <w:t>ensure that the Fund is ready for the implementation of the Good Governance Review in 2022</w:t>
            </w:r>
            <w:r w:rsidR="00922249">
              <w:rPr>
                <w:rFonts w:cs="Arial"/>
                <w:szCs w:val="24"/>
              </w:rPr>
              <w:t xml:space="preserve">. </w:t>
            </w:r>
          </w:p>
          <w:p w14:paraId="2049D9D5" w14:textId="77777777" w:rsidR="00E2344F" w:rsidRPr="00E2344F" w:rsidRDefault="00E2344F" w:rsidP="00E2344F">
            <w:pPr>
              <w:pStyle w:val="Heading2"/>
              <w:rPr>
                <w:sz w:val="28"/>
                <w:szCs w:val="28"/>
              </w:rPr>
            </w:pPr>
            <w:r w:rsidRPr="00E2344F">
              <w:rPr>
                <w:sz w:val="28"/>
                <w:szCs w:val="28"/>
              </w:rPr>
              <w:t xml:space="preserve">Recommendations: </w:t>
            </w:r>
          </w:p>
          <w:p w14:paraId="2688E4F6" w14:textId="77777777" w:rsidR="00CF1C4A" w:rsidRPr="00CF1C4A" w:rsidRDefault="00E2344F" w:rsidP="00E2344F">
            <w:pPr>
              <w:rPr>
                <w:szCs w:val="24"/>
              </w:rPr>
            </w:pPr>
            <w:r w:rsidRPr="00CF1C4A">
              <w:rPr>
                <w:szCs w:val="24"/>
              </w:rPr>
              <w:t xml:space="preserve">The </w:t>
            </w:r>
            <w:r w:rsidR="003007D9" w:rsidRPr="00CF1C4A">
              <w:rPr>
                <w:szCs w:val="24"/>
              </w:rPr>
              <w:t>Board</w:t>
            </w:r>
            <w:r w:rsidRPr="00CF1C4A">
              <w:rPr>
                <w:szCs w:val="24"/>
              </w:rPr>
              <w:t xml:space="preserve"> is recommended </w:t>
            </w:r>
            <w:r w:rsidR="00922249" w:rsidRPr="00CF1C4A">
              <w:rPr>
                <w:szCs w:val="24"/>
              </w:rPr>
              <w:t xml:space="preserve">to </w:t>
            </w:r>
          </w:p>
          <w:p w14:paraId="30F15E43" w14:textId="77777777" w:rsidR="00CF1C4A" w:rsidRPr="00CF1C4A" w:rsidRDefault="003007D9" w:rsidP="00CF1C4A">
            <w:pPr>
              <w:pStyle w:val="ListParagraph"/>
              <w:numPr>
                <w:ilvl w:val="0"/>
                <w:numId w:val="23"/>
              </w:numPr>
              <w:rPr>
                <w:sz w:val="24"/>
                <w:szCs w:val="24"/>
              </w:rPr>
            </w:pPr>
            <w:r w:rsidRPr="00CF1C4A">
              <w:rPr>
                <w:sz w:val="24"/>
                <w:szCs w:val="24"/>
              </w:rPr>
              <w:t xml:space="preserve">note the report </w:t>
            </w:r>
          </w:p>
          <w:p w14:paraId="15BE2CF8" w14:textId="6D6630C2" w:rsidR="00CF1C4A" w:rsidRPr="00CF1C4A" w:rsidRDefault="00CF1C4A" w:rsidP="00CF1C4A">
            <w:pPr>
              <w:pStyle w:val="ListParagraph"/>
              <w:numPr>
                <w:ilvl w:val="0"/>
                <w:numId w:val="23"/>
              </w:numPr>
              <w:rPr>
                <w:sz w:val="24"/>
                <w:szCs w:val="24"/>
              </w:rPr>
            </w:pPr>
            <w:r w:rsidRPr="00CF1C4A">
              <w:rPr>
                <w:sz w:val="24"/>
                <w:szCs w:val="24"/>
              </w:rPr>
              <w:t>to consider and make recommendations to the Pension Fund Committee in respect of</w:t>
            </w:r>
          </w:p>
          <w:p w14:paraId="0A9C91D4" w14:textId="34FA6E20" w:rsidR="00E117CE" w:rsidRDefault="00CF1C4A" w:rsidP="00CF1C4A">
            <w:pPr>
              <w:pStyle w:val="ListParagraph"/>
              <w:numPr>
                <w:ilvl w:val="0"/>
                <w:numId w:val="24"/>
              </w:numPr>
              <w:rPr>
                <w:sz w:val="24"/>
                <w:szCs w:val="24"/>
              </w:rPr>
            </w:pPr>
            <w:r w:rsidRPr="00CF1C4A">
              <w:rPr>
                <w:sz w:val="24"/>
                <w:szCs w:val="24"/>
              </w:rPr>
              <w:t xml:space="preserve">the </w:t>
            </w:r>
            <w:r w:rsidR="00C51C49">
              <w:rPr>
                <w:sz w:val="24"/>
                <w:szCs w:val="24"/>
              </w:rPr>
              <w:t>Draft Training Policy</w:t>
            </w:r>
            <w:r w:rsidRPr="00CF1C4A">
              <w:rPr>
                <w:sz w:val="24"/>
                <w:szCs w:val="24"/>
              </w:rPr>
              <w:t xml:space="preserve"> </w:t>
            </w:r>
          </w:p>
          <w:p w14:paraId="714CBDEE" w14:textId="257B0DC9" w:rsidR="00A160B2" w:rsidRDefault="00CF1C4A" w:rsidP="00C51C49">
            <w:pPr>
              <w:pStyle w:val="ListParagraph"/>
              <w:numPr>
                <w:ilvl w:val="0"/>
                <w:numId w:val="24"/>
              </w:numPr>
            </w:pPr>
            <w:r w:rsidRPr="00CF1C4A">
              <w:rPr>
                <w:sz w:val="24"/>
                <w:szCs w:val="24"/>
              </w:rPr>
              <w:t xml:space="preserve">and the </w:t>
            </w:r>
            <w:r w:rsidR="00C51C49">
              <w:rPr>
                <w:sz w:val="24"/>
                <w:szCs w:val="24"/>
              </w:rPr>
              <w:t>Draft Fund Administration Strategy</w:t>
            </w:r>
            <w:r w:rsidR="00E16F4A">
              <w:t>.</w:t>
            </w:r>
            <w:r w:rsidR="00A160B2">
              <w:t xml:space="preserve">  </w:t>
            </w:r>
          </w:p>
        </w:tc>
      </w:tr>
    </w:tbl>
    <w:p w14:paraId="53DC7DE2" w14:textId="36DB607C" w:rsidR="002A2389" w:rsidRDefault="002A2389" w:rsidP="00A160B2">
      <w:pPr>
        <w:pStyle w:val="Heading2"/>
      </w:pPr>
      <w:r>
        <w:t>Section 2 – Report</w:t>
      </w:r>
    </w:p>
    <w:p w14:paraId="1911551C" w14:textId="77777777" w:rsidR="00E2344F" w:rsidRPr="00E2344F" w:rsidRDefault="00E2344F" w:rsidP="00E2344F"/>
    <w:p w14:paraId="7C3112C8" w14:textId="7CCC972E" w:rsidR="003007D9" w:rsidRDefault="00497308" w:rsidP="008306D5">
      <w:pPr>
        <w:numPr>
          <w:ilvl w:val="0"/>
          <w:numId w:val="16"/>
        </w:numPr>
        <w:tabs>
          <w:tab w:val="clear" w:pos="584"/>
        </w:tabs>
        <w:ind w:left="284" w:hanging="284"/>
        <w:jc w:val="both"/>
      </w:pPr>
      <w:bookmarkStart w:id="0" w:name="_Hlk74148209"/>
      <w:r w:rsidRPr="00497308">
        <w:t>The LGPS “Good Governance Review”</w:t>
      </w:r>
      <w:r w:rsidR="008306D5" w:rsidRPr="00497308">
        <w:t xml:space="preserve"> </w:t>
      </w:r>
      <w:r>
        <w:t xml:space="preserve">began in 2019. Its implementation </w:t>
      </w:r>
      <w:r w:rsidR="00CF1C4A">
        <w:t>was</w:t>
      </w:r>
      <w:r>
        <w:t xml:space="preserve"> delayed by the Covid-19 pandemic, but earl</w:t>
      </w:r>
      <w:r w:rsidR="00C51C49">
        <w:t>y</w:t>
      </w:r>
      <w:r>
        <w:t xml:space="preserve"> in 2021 the LGPS Scheme Advisory Board </w:t>
      </w:r>
      <w:r w:rsidR="003007D9">
        <w:t xml:space="preserve">(SAB) </w:t>
      </w:r>
      <w:r>
        <w:t>published a Phase 3 Report – this is now with the Government (</w:t>
      </w:r>
      <w:r w:rsidR="00CF1C4A">
        <w:t>DLUHC</w:t>
      </w:r>
      <w:r>
        <w:t xml:space="preserve">) for implementation. Before the </w:t>
      </w:r>
      <w:r w:rsidR="003007D9">
        <w:t xml:space="preserve">Pension Fund </w:t>
      </w:r>
      <w:r>
        <w:lastRenderedPageBreak/>
        <w:t>Committee’s meeting</w:t>
      </w:r>
      <w:r w:rsidR="003007D9">
        <w:t xml:space="preserve"> on 24</w:t>
      </w:r>
      <w:r w:rsidR="003007D9" w:rsidRPr="003007D9">
        <w:rPr>
          <w:vertAlign w:val="superscript"/>
        </w:rPr>
        <w:t>th</w:t>
      </w:r>
      <w:r w:rsidR="003007D9">
        <w:t xml:space="preserve"> June 2021</w:t>
      </w:r>
      <w:r>
        <w:t>, Ian Colvin of Hymans Robertson (who as well as being the Harrow Fund’s actuaries, also advised the SAB during the Review)</w:t>
      </w:r>
      <w:r w:rsidR="00540F51">
        <w:t xml:space="preserve"> </w:t>
      </w:r>
      <w:r w:rsidR="00C51C49">
        <w:t>led a training session on this subject</w:t>
      </w:r>
      <w:r>
        <w:t xml:space="preserve">. </w:t>
      </w:r>
      <w:r w:rsidR="008306D5" w:rsidRPr="00497308">
        <w:t xml:space="preserve"> </w:t>
      </w:r>
      <w:r>
        <w:t xml:space="preserve">In that session the Committee was advised of the key issues arising from the Review. </w:t>
      </w:r>
      <w:bookmarkStart w:id="1" w:name="_Hlk81313652"/>
    </w:p>
    <w:p w14:paraId="04C44B2C" w14:textId="77777777" w:rsidR="003007D9" w:rsidRDefault="003007D9" w:rsidP="003007D9">
      <w:pPr>
        <w:ind w:left="284"/>
        <w:jc w:val="both"/>
      </w:pPr>
    </w:p>
    <w:p w14:paraId="0D3EA30F" w14:textId="5F62F9F7" w:rsidR="008306D5" w:rsidRDefault="003007D9" w:rsidP="008306D5">
      <w:pPr>
        <w:numPr>
          <w:ilvl w:val="0"/>
          <w:numId w:val="16"/>
        </w:numPr>
        <w:tabs>
          <w:tab w:val="clear" w:pos="584"/>
        </w:tabs>
        <w:ind w:left="284" w:hanging="284"/>
        <w:jc w:val="both"/>
      </w:pPr>
      <w:r>
        <w:t>At its meeting on 13</w:t>
      </w:r>
      <w:r w:rsidRPr="003007D9">
        <w:rPr>
          <w:vertAlign w:val="superscript"/>
        </w:rPr>
        <w:t>th</w:t>
      </w:r>
      <w:r>
        <w:t xml:space="preserve"> September 2021, the Committee considered and approved the</w:t>
      </w:r>
      <w:r w:rsidR="00497308">
        <w:t xml:space="preserve"> approach to ensuring that Harrow is ready for the </w:t>
      </w:r>
      <w:r w:rsidR="00964ADC">
        <w:t>Review’s implementation in 2022.</w:t>
      </w:r>
      <w:bookmarkEnd w:id="1"/>
      <w:r w:rsidR="00CF1C4A">
        <w:t xml:space="preserve"> It </w:t>
      </w:r>
      <w:r w:rsidR="00C51C49">
        <w:t xml:space="preserve">was </w:t>
      </w:r>
      <w:r w:rsidR="00CF1C4A">
        <w:t xml:space="preserve">approved that the Pension Board be asked to review the drafts and comment / make recommendations to the Committee regarding the adoption of the policies. </w:t>
      </w:r>
    </w:p>
    <w:p w14:paraId="6AD5C964" w14:textId="77777777" w:rsidR="00E117CE" w:rsidRDefault="00E117CE" w:rsidP="00E117CE">
      <w:pPr>
        <w:pStyle w:val="ListParagraph"/>
      </w:pPr>
    </w:p>
    <w:p w14:paraId="3E82A38D" w14:textId="157FCBB7" w:rsidR="00E117CE" w:rsidRDefault="00E117CE" w:rsidP="008306D5">
      <w:pPr>
        <w:numPr>
          <w:ilvl w:val="0"/>
          <w:numId w:val="16"/>
        </w:numPr>
        <w:tabs>
          <w:tab w:val="clear" w:pos="584"/>
        </w:tabs>
        <w:ind w:left="284" w:hanging="284"/>
        <w:jc w:val="both"/>
      </w:pPr>
      <w:r>
        <w:t xml:space="preserve">At its last meeting, the Board considered the draft Conflicts of Interest Policy and the draft Breaches Policy and made </w:t>
      </w:r>
      <w:r w:rsidR="00540F51">
        <w:t>several</w:t>
      </w:r>
      <w:r>
        <w:t xml:space="preserve"> comments and suggestions. These have been reflected in the latest dra</w:t>
      </w:r>
      <w:r w:rsidR="00C51C49">
        <w:t>f</w:t>
      </w:r>
      <w:r>
        <w:t>ts</w:t>
      </w:r>
      <w:r w:rsidR="00540F51">
        <w:t xml:space="preserve"> of those policies</w:t>
      </w:r>
      <w:r>
        <w:t>, which will be considered by the Pension Fund Committee at its meeting on 9 March 2022.</w:t>
      </w:r>
    </w:p>
    <w:p w14:paraId="783B71CD" w14:textId="77777777" w:rsidR="00CF1C4A" w:rsidRDefault="00CF1C4A" w:rsidP="00CF1C4A">
      <w:pPr>
        <w:pStyle w:val="ListParagraph"/>
      </w:pPr>
    </w:p>
    <w:p w14:paraId="217021C2" w14:textId="1288FCEC" w:rsidR="00CF1C4A" w:rsidRDefault="00CF1C4A" w:rsidP="00CF1C4A">
      <w:pPr>
        <w:numPr>
          <w:ilvl w:val="0"/>
          <w:numId w:val="16"/>
        </w:numPr>
        <w:tabs>
          <w:tab w:val="clear" w:pos="584"/>
        </w:tabs>
        <w:ind w:left="284" w:hanging="284"/>
        <w:jc w:val="both"/>
      </w:pPr>
      <w:r>
        <w:t xml:space="preserve">Attached to this report are </w:t>
      </w:r>
      <w:r w:rsidR="00C51C49">
        <w:t>two</w:t>
      </w:r>
      <w:r w:rsidR="00E117CE">
        <w:t xml:space="preserve"> further </w:t>
      </w:r>
      <w:r>
        <w:t>draft policies for consideration and comment, as follows:</w:t>
      </w:r>
    </w:p>
    <w:p w14:paraId="6F8376C4" w14:textId="2653B01C" w:rsidR="00CF1C4A" w:rsidRPr="00C51C49" w:rsidRDefault="00C51C49" w:rsidP="00CF1C4A">
      <w:pPr>
        <w:pStyle w:val="ListParagraph"/>
        <w:numPr>
          <w:ilvl w:val="0"/>
          <w:numId w:val="25"/>
        </w:numPr>
        <w:jc w:val="both"/>
        <w:rPr>
          <w:sz w:val="24"/>
          <w:szCs w:val="24"/>
        </w:rPr>
      </w:pPr>
      <w:r>
        <w:rPr>
          <w:sz w:val="24"/>
          <w:szCs w:val="24"/>
        </w:rPr>
        <w:t>Training Policy</w:t>
      </w:r>
      <w:r w:rsidR="00CF1C4A" w:rsidRPr="00C51C49">
        <w:rPr>
          <w:sz w:val="24"/>
          <w:szCs w:val="24"/>
        </w:rPr>
        <w:t xml:space="preserve"> – Appendix </w:t>
      </w:r>
      <w:r w:rsidR="00464CE5" w:rsidRPr="00C51C49">
        <w:rPr>
          <w:sz w:val="24"/>
          <w:szCs w:val="24"/>
        </w:rPr>
        <w:t>1</w:t>
      </w:r>
    </w:p>
    <w:p w14:paraId="219DDB6C" w14:textId="6C1693DF" w:rsidR="00CF1C4A" w:rsidRPr="00C51C49" w:rsidRDefault="00C51C49" w:rsidP="00CF1C4A">
      <w:pPr>
        <w:pStyle w:val="ListParagraph"/>
        <w:numPr>
          <w:ilvl w:val="0"/>
          <w:numId w:val="25"/>
        </w:numPr>
        <w:jc w:val="both"/>
        <w:rPr>
          <w:sz w:val="24"/>
          <w:szCs w:val="24"/>
        </w:rPr>
      </w:pPr>
      <w:r>
        <w:rPr>
          <w:sz w:val="24"/>
          <w:szCs w:val="24"/>
        </w:rPr>
        <w:t xml:space="preserve">Fund Administration Strategy </w:t>
      </w:r>
      <w:r w:rsidR="00CF1C4A" w:rsidRPr="00C51C49">
        <w:rPr>
          <w:sz w:val="24"/>
          <w:szCs w:val="24"/>
        </w:rPr>
        <w:t xml:space="preserve">– Appendix </w:t>
      </w:r>
      <w:r w:rsidR="00464CE5" w:rsidRPr="00C51C49">
        <w:rPr>
          <w:sz w:val="24"/>
          <w:szCs w:val="24"/>
        </w:rPr>
        <w:t>2</w:t>
      </w:r>
      <w:r w:rsidR="00CF1C4A" w:rsidRPr="00C51C49">
        <w:rPr>
          <w:sz w:val="24"/>
          <w:szCs w:val="24"/>
        </w:rPr>
        <w:t xml:space="preserve"> </w:t>
      </w:r>
    </w:p>
    <w:p w14:paraId="44556866" w14:textId="10378638" w:rsidR="00CF1C4A" w:rsidRDefault="00CF1C4A" w:rsidP="00540F51">
      <w:pPr>
        <w:pStyle w:val="ListParagraph"/>
        <w:ind w:left="1004"/>
        <w:jc w:val="both"/>
      </w:pPr>
    </w:p>
    <w:p w14:paraId="46444662" w14:textId="09AB1B03" w:rsidR="00CF1C4A" w:rsidRDefault="00CF1C4A" w:rsidP="00D92107">
      <w:pPr>
        <w:numPr>
          <w:ilvl w:val="0"/>
          <w:numId w:val="16"/>
        </w:numPr>
        <w:tabs>
          <w:tab w:val="clear" w:pos="584"/>
        </w:tabs>
        <w:ind w:left="284" w:hanging="284"/>
        <w:jc w:val="both"/>
      </w:pPr>
      <w:r>
        <w:t>As previously agreed, these are based upon template</w:t>
      </w:r>
      <w:r w:rsidR="00D92107">
        <w:t xml:space="preserve"> policie</w:t>
      </w:r>
      <w:r>
        <w:t xml:space="preserve">s produced by Hymans Robertson, and incorporating specific good practice as appropriate from other LGPS Funds. A brief summary of each is </w:t>
      </w:r>
      <w:r w:rsidR="00D54D7D">
        <w:t>i</w:t>
      </w:r>
      <w:r>
        <w:t>ncluded below.</w:t>
      </w:r>
    </w:p>
    <w:p w14:paraId="3EE3BD08" w14:textId="41D7BAC4" w:rsidR="00CF1C4A" w:rsidRDefault="00CF1C4A" w:rsidP="00CF1C4A">
      <w:pPr>
        <w:jc w:val="both"/>
      </w:pPr>
    </w:p>
    <w:p w14:paraId="0C24C966" w14:textId="0E3C1F53" w:rsidR="00CF1C4A" w:rsidRPr="00C51C49" w:rsidRDefault="00C51C49" w:rsidP="00CF1C4A">
      <w:pPr>
        <w:jc w:val="both"/>
        <w:rPr>
          <w:b/>
          <w:bCs/>
        </w:rPr>
      </w:pPr>
      <w:r>
        <w:rPr>
          <w:b/>
          <w:bCs/>
        </w:rPr>
        <w:t xml:space="preserve">Training </w:t>
      </w:r>
      <w:r w:rsidR="00EA182B" w:rsidRPr="00C51C49">
        <w:rPr>
          <w:b/>
          <w:bCs/>
        </w:rPr>
        <w:t>Policy</w:t>
      </w:r>
    </w:p>
    <w:p w14:paraId="6FE68D6E" w14:textId="77777777" w:rsidR="007808A7" w:rsidRPr="00C51C49" w:rsidRDefault="007808A7" w:rsidP="007808A7">
      <w:pPr>
        <w:ind w:left="284"/>
        <w:jc w:val="both"/>
      </w:pPr>
    </w:p>
    <w:p w14:paraId="1D00086E" w14:textId="09543B11" w:rsidR="001B1046" w:rsidRPr="00CA2A23" w:rsidRDefault="00D54D7D" w:rsidP="00E2344F">
      <w:pPr>
        <w:numPr>
          <w:ilvl w:val="0"/>
          <w:numId w:val="16"/>
        </w:numPr>
        <w:tabs>
          <w:tab w:val="clear" w:pos="584"/>
          <w:tab w:val="num" w:pos="284"/>
        </w:tabs>
        <w:ind w:left="284" w:hanging="284"/>
        <w:jc w:val="both"/>
      </w:pPr>
      <w:r w:rsidRPr="00CA2A23">
        <w:t>This Policy</w:t>
      </w:r>
      <w:r w:rsidR="00FF677E" w:rsidRPr="00CA2A23">
        <w:t xml:space="preserve"> sets out </w:t>
      </w:r>
      <w:r w:rsidR="00CA2A23">
        <w:t xml:space="preserve">approach to ensuring that the various people involved in managing and making decisions in respect of the </w:t>
      </w:r>
      <w:r w:rsidR="00540F51">
        <w:t xml:space="preserve">Harrow </w:t>
      </w:r>
      <w:r w:rsidR="00CA2A23">
        <w:t>Pension Fund</w:t>
      </w:r>
      <w:r w:rsidR="00056FF4">
        <w:t xml:space="preserve"> (officers, Committee members and Board members)</w:t>
      </w:r>
      <w:r w:rsidR="00CA2A23">
        <w:t xml:space="preserve"> have the appropriate and relevant knowledge and skills to carry out their roles and functions effectively.</w:t>
      </w:r>
      <w:r w:rsidR="00F136E9" w:rsidRPr="00CA2A23">
        <w:t xml:space="preserve"> </w:t>
      </w:r>
      <w:r w:rsidR="001B1046" w:rsidRPr="00CA2A23">
        <w:t xml:space="preserve"> </w:t>
      </w:r>
    </w:p>
    <w:p w14:paraId="78D6C65E" w14:textId="77777777" w:rsidR="00EA182B" w:rsidRPr="00E117CE" w:rsidRDefault="00EA182B" w:rsidP="00EA182B">
      <w:pPr>
        <w:ind w:left="284"/>
        <w:jc w:val="both"/>
        <w:rPr>
          <w:highlight w:val="yellow"/>
        </w:rPr>
      </w:pPr>
    </w:p>
    <w:p w14:paraId="260CE06B" w14:textId="5C4C7931" w:rsidR="00056FF4" w:rsidRDefault="00CA2A23" w:rsidP="00056FF4">
      <w:pPr>
        <w:numPr>
          <w:ilvl w:val="0"/>
          <w:numId w:val="16"/>
        </w:numPr>
        <w:tabs>
          <w:tab w:val="clear" w:pos="584"/>
          <w:tab w:val="num" w:pos="284"/>
        </w:tabs>
        <w:ind w:left="284" w:hanging="284"/>
        <w:jc w:val="both"/>
      </w:pPr>
      <w:r>
        <w:t xml:space="preserve">One aspect which </w:t>
      </w:r>
      <w:r w:rsidR="00056FF4">
        <w:t>may</w:t>
      </w:r>
      <w:r>
        <w:t xml:space="preserve"> be of particular importance in 2022 is the</w:t>
      </w:r>
      <w:r w:rsidR="00056FF4">
        <w:t xml:space="preserve"> induction and training of new Committee members. Local elections take place in May </w:t>
      </w:r>
      <w:r w:rsidR="00540F51">
        <w:t>2022. S</w:t>
      </w:r>
      <w:r w:rsidR="00056FF4">
        <w:t xml:space="preserve">hould there be new members appointed to the Committee, they will need to be brought up to speed. </w:t>
      </w:r>
    </w:p>
    <w:p w14:paraId="570A22F0" w14:textId="77777777" w:rsidR="00056FF4" w:rsidRDefault="00056FF4" w:rsidP="00056FF4">
      <w:pPr>
        <w:pStyle w:val="ListParagraph"/>
      </w:pPr>
    </w:p>
    <w:p w14:paraId="0601A4F2" w14:textId="229B022D" w:rsidR="00EA182B" w:rsidRPr="00C51C49" w:rsidRDefault="00C51C49" w:rsidP="00EA182B">
      <w:pPr>
        <w:jc w:val="both"/>
        <w:rPr>
          <w:b/>
          <w:bCs/>
        </w:rPr>
      </w:pPr>
      <w:r>
        <w:rPr>
          <w:b/>
          <w:bCs/>
        </w:rPr>
        <w:t>Fund Administration Strategy</w:t>
      </w:r>
    </w:p>
    <w:p w14:paraId="112F00DB" w14:textId="77777777" w:rsidR="001B1046" w:rsidRPr="00E117CE" w:rsidRDefault="001B1046" w:rsidP="001B1046">
      <w:pPr>
        <w:ind w:left="284"/>
        <w:jc w:val="both"/>
        <w:rPr>
          <w:highlight w:val="yellow"/>
        </w:rPr>
      </w:pPr>
    </w:p>
    <w:p w14:paraId="5628E1B1" w14:textId="71D8F637" w:rsidR="00056FF4" w:rsidRPr="00056FF4" w:rsidRDefault="00056FF4" w:rsidP="00056FF4">
      <w:pPr>
        <w:numPr>
          <w:ilvl w:val="0"/>
          <w:numId w:val="16"/>
        </w:numPr>
        <w:tabs>
          <w:tab w:val="clear" w:pos="584"/>
          <w:tab w:val="num" w:pos="284"/>
        </w:tabs>
        <w:ind w:left="284" w:hanging="284"/>
        <w:jc w:val="both"/>
      </w:pPr>
      <w:r w:rsidRPr="00056FF4">
        <w:t xml:space="preserve">It is considered best practice for all funds to have an Administration Strategy. </w:t>
      </w:r>
      <w:r w:rsidR="00182849" w:rsidRPr="00056FF4">
        <w:t>T</w:t>
      </w:r>
      <w:r w:rsidR="00310B8D" w:rsidRPr="00056FF4">
        <w:t>h</w:t>
      </w:r>
      <w:r w:rsidR="00D54D7D" w:rsidRPr="00056FF4">
        <w:t xml:space="preserve">is </w:t>
      </w:r>
      <w:r w:rsidRPr="00056FF4">
        <w:t xml:space="preserve">document sets out the roles and deadlines to which all parties have to work, performance standards for LBH as the administering authority for the Fund, a summary of our approach to communications (linked to the Communications Policy approved in 2021) and a summary of costs which will be recovered from employers.   </w:t>
      </w:r>
      <w:bookmarkEnd w:id="0"/>
    </w:p>
    <w:p w14:paraId="2B6A96B7" w14:textId="77777777" w:rsidR="00056FF4" w:rsidRPr="00E117CE" w:rsidRDefault="00056FF4" w:rsidP="00056FF4">
      <w:pPr>
        <w:ind w:left="284"/>
        <w:jc w:val="both"/>
      </w:pPr>
    </w:p>
    <w:p w14:paraId="538CC897" w14:textId="7CD221B2" w:rsidR="00056FF4" w:rsidRDefault="00056FF4" w:rsidP="00621EA4">
      <w:pPr>
        <w:numPr>
          <w:ilvl w:val="0"/>
          <w:numId w:val="16"/>
        </w:numPr>
        <w:tabs>
          <w:tab w:val="clear" w:pos="584"/>
          <w:tab w:val="num" w:pos="284"/>
        </w:tabs>
        <w:ind w:left="284" w:hanging="284"/>
        <w:jc w:val="both"/>
      </w:pPr>
      <w:r w:rsidRPr="00056FF4">
        <w:t>Importantly the document highlights how the various parties involved (the administering authority, employers, scheme members and actuaries work together to deliver a good quality service.</w:t>
      </w:r>
    </w:p>
    <w:p w14:paraId="1B03233B" w14:textId="77777777" w:rsidR="00540F51" w:rsidRDefault="00540F51" w:rsidP="00540F51">
      <w:pPr>
        <w:pStyle w:val="ListParagraph"/>
      </w:pPr>
    </w:p>
    <w:p w14:paraId="246392CA" w14:textId="4AC20C38" w:rsidR="00540F51" w:rsidRPr="00056FF4" w:rsidRDefault="00540F51" w:rsidP="001D2297">
      <w:pPr>
        <w:numPr>
          <w:ilvl w:val="0"/>
          <w:numId w:val="16"/>
        </w:numPr>
        <w:tabs>
          <w:tab w:val="clear" w:pos="584"/>
          <w:tab w:val="num" w:pos="284"/>
        </w:tabs>
        <w:ind w:left="284" w:hanging="284"/>
      </w:pPr>
      <w:r>
        <w:t>The Board should note that in some cases the target times are not currently being achieved – there are two main reasons for this. Firstly, there has been some turnover within the team, and new staff members are being trained and “brought up to speed”. Secondly, workload is currently higher than normal. One factor in this has been that at Harrow, in common with many LGPS funds, it appears that the Covid-</w:t>
      </w:r>
      <w:r w:rsidR="001D2297">
        <w:t>19 pandemic</w:t>
      </w:r>
      <w:r>
        <w:t xml:space="preserve"> has triggered a significant number of retirement estimate requests from older active members.</w:t>
      </w:r>
    </w:p>
    <w:p w14:paraId="084461C6" w14:textId="60A52EF0" w:rsidR="00EA182B" w:rsidRDefault="00621EA4" w:rsidP="00540F51">
      <w:pPr>
        <w:jc w:val="both"/>
      </w:pPr>
      <w:r w:rsidRPr="00E117CE">
        <w:rPr>
          <w:highlight w:val="yellow"/>
        </w:rPr>
        <w:t xml:space="preserve"> </w:t>
      </w:r>
    </w:p>
    <w:p w14:paraId="70C4BCAA" w14:textId="616EA6CF" w:rsidR="00EA182B" w:rsidRPr="00EA182B" w:rsidRDefault="00EA182B" w:rsidP="00EA182B">
      <w:pPr>
        <w:jc w:val="both"/>
        <w:rPr>
          <w:b/>
          <w:bCs/>
        </w:rPr>
      </w:pPr>
      <w:r w:rsidRPr="00EA182B">
        <w:rPr>
          <w:b/>
          <w:bCs/>
        </w:rPr>
        <w:t>Next steps</w:t>
      </w:r>
    </w:p>
    <w:p w14:paraId="2F934F21" w14:textId="77777777" w:rsidR="00310B8D" w:rsidRDefault="00310B8D" w:rsidP="00310B8D">
      <w:pPr>
        <w:pStyle w:val="ListParagraph"/>
      </w:pPr>
    </w:p>
    <w:p w14:paraId="34C5734F" w14:textId="7BA6F856" w:rsidR="00EA182B" w:rsidRPr="00E117CE" w:rsidRDefault="00D54D7D" w:rsidP="00E117CE">
      <w:pPr>
        <w:numPr>
          <w:ilvl w:val="0"/>
          <w:numId w:val="16"/>
        </w:numPr>
        <w:tabs>
          <w:tab w:val="clear" w:pos="584"/>
          <w:tab w:val="num" w:pos="284"/>
        </w:tabs>
        <w:ind w:left="284" w:hanging="284"/>
        <w:jc w:val="both"/>
      </w:pPr>
      <w:r>
        <w:t>T</w:t>
      </w:r>
      <w:r w:rsidR="00EA182B">
        <w:t>he Board</w:t>
      </w:r>
      <w:r w:rsidR="00E117CE">
        <w:t xml:space="preserve">’s comments and suggestions on these policies will be reported to the Pension Fund Committee as it considers </w:t>
      </w:r>
      <w:r w:rsidR="00C51C49">
        <w:t xml:space="preserve">approval of </w:t>
      </w:r>
      <w:r w:rsidR="00E117CE">
        <w:t>these policies at its meeting on 9 March 2022.</w:t>
      </w:r>
      <w:r w:rsidR="00EA182B">
        <w:t xml:space="preserve"> </w:t>
      </w:r>
    </w:p>
    <w:p w14:paraId="3469E0D9" w14:textId="621B169D" w:rsidR="00213BE7" w:rsidRDefault="00213BE7" w:rsidP="00213BE7">
      <w:pPr>
        <w:pStyle w:val="Heading2"/>
      </w:pPr>
      <w:r w:rsidRPr="00182849">
        <w:t>Legal Implications</w:t>
      </w:r>
    </w:p>
    <w:p w14:paraId="443F8251" w14:textId="53772BE0" w:rsidR="00180D94" w:rsidRDefault="00180D94" w:rsidP="00180D94"/>
    <w:p w14:paraId="75D7E075" w14:textId="7148EE21" w:rsidR="00A80313" w:rsidRDefault="00180D94" w:rsidP="00A80313">
      <w:pPr>
        <w:pStyle w:val="ListParagraph"/>
        <w:numPr>
          <w:ilvl w:val="0"/>
          <w:numId w:val="16"/>
        </w:numPr>
        <w:rPr>
          <w:sz w:val="24"/>
          <w:szCs w:val="24"/>
        </w:rPr>
      </w:pPr>
      <w:r w:rsidRPr="00F22AA0">
        <w:rPr>
          <w:sz w:val="24"/>
          <w:szCs w:val="24"/>
        </w:rPr>
        <w:t>There are no direct legal implications arising from this report.</w:t>
      </w:r>
      <w:r w:rsidR="00A80313">
        <w:rPr>
          <w:sz w:val="24"/>
          <w:szCs w:val="24"/>
        </w:rPr>
        <w:t xml:space="preserve"> </w:t>
      </w:r>
    </w:p>
    <w:p w14:paraId="15E462CC" w14:textId="77777777" w:rsidR="00EA182B" w:rsidRDefault="00EA182B" w:rsidP="00EA182B">
      <w:pPr>
        <w:pStyle w:val="ListParagraph"/>
        <w:ind w:left="584"/>
        <w:rPr>
          <w:sz w:val="24"/>
          <w:szCs w:val="24"/>
        </w:rPr>
      </w:pPr>
    </w:p>
    <w:p w14:paraId="20FEFD52" w14:textId="51F13DF9" w:rsidR="00EA182B" w:rsidRPr="00EA182B" w:rsidRDefault="00EA182B" w:rsidP="00A80313">
      <w:pPr>
        <w:pStyle w:val="ListParagraph"/>
        <w:numPr>
          <w:ilvl w:val="0"/>
          <w:numId w:val="16"/>
        </w:numPr>
        <w:rPr>
          <w:sz w:val="24"/>
          <w:szCs w:val="24"/>
        </w:rPr>
      </w:pPr>
      <w:r w:rsidRPr="00EA182B">
        <w:rPr>
          <w:sz w:val="24"/>
          <w:szCs w:val="24"/>
        </w:rPr>
        <w:t>The terms of reference for the Board include assisting the Administering Authority (London Borough of Harrow) as Scheme Manager in ensuring the effective and efficient governance and administration of the Local Government Pension Scheme</w:t>
      </w:r>
      <w:r>
        <w:rPr>
          <w:sz w:val="24"/>
          <w:szCs w:val="24"/>
        </w:rPr>
        <w:t>.</w:t>
      </w:r>
    </w:p>
    <w:p w14:paraId="41BB405D" w14:textId="77777777" w:rsidR="002A2389" w:rsidRDefault="002A2389" w:rsidP="003D2FFE">
      <w:pPr>
        <w:pStyle w:val="Heading2"/>
        <w:spacing w:after="240"/>
      </w:pPr>
      <w:r>
        <w:t>Financial Implications</w:t>
      </w:r>
    </w:p>
    <w:p w14:paraId="110B0902" w14:textId="77777777" w:rsidR="00180D94" w:rsidRPr="00F22AA0" w:rsidRDefault="00180D94" w:rsidP="00180D94">
      <w:pPr>
        <w:pStyle w:val="ListParagraph"/>
        <w:numPr>
          <w:ilvl w:val="0"/>
          <w:numId w:val="16"/>
        </w:numPr>
        <w:rPr>
          <w:sz w:val="24"/>
          <w:szCs w:val="24"/>
        </w:rPr>
      </w:pPr>
      <w:r w:rsidRPr="00F22AA0">
        <w:rPr>
          <w:sz w:val="24"/>
          <w:szCs w:val="24"/>
        </w:rPr>
        <w:t>Whilst the financial health of the Pension Fund directly affects the level of employer contribution which, in turn, affects the resources available for the Council’s priorities there are no impacts arising directly from this report.</w:t>
      </w:r>
    </w:p>
    <w:p w14:paraId="2B95D393" w14:textId="165B0E37" w:rsidR="00180D94" w:rsidRDefault="00C32DAE" w:rsidP="00180D94">
      <w:pPr>
        <w:pStyle w:val="Heading2"/>
        <w:spacing w:after="240"/>
      </w:pPr>
      <w:r>
        <w:t>Risk Management Implications</w:t>
      </w:r>
    </w:p>
    <w:p w14:paraId="6260A6EF" w14:textId="30E80712" w:rsidR="00180D94" w:rsidRPr="003F5AF9" w:rsidRDefault="00180D94" w:rsidP="00180D94">
      <w:pPr>
        <w:numPr>
          <w:ilvl w:val="0"/>
          <w:numId w:val="16"/>
        </w:numPr>
        <w:autoSpaceDE w:val="0"/>
        <w:autoSpaceDN w:val="0"/>
        <w:adjustRightInd w:val="0"/>
        <w:ind w:left="426" w:hanging="426"/>
        <w:rPr>
          <w:rFonts w:cs="Arial"/>
          <w:color w:val="000000"/>
          <w:szCs w:val="24"/>
          <w:lang w:eastAsia="en-GB"/>
        </w:rPr>
      </w:pPr>
      <w:r w:rsidRPr="00690F76">
        <w:t>The Pension Fund’s Risk Register is reviewed regularly by both th</w:t>
      </w:r>
      <w:r w:rsidR="00287D43">
        <w:t>e</w:t>
      </w:r>
      <w:r w:rsidRPr="00690F76">
        <w:t xml:space="preserve"> </w:t>
      </w:r>
      <w:r w:rsidR="00310B8D">
        <w:t xml:space="preserve">Pension Fund </w:t>
      </w:r>
      <w:r w:rsidRPr="00690F76">
        <w:t xml:space="preserve">Committee and by the </w:t>
      </w:r>
      <w:r w:rsidR="00310B8D">
        <w:t>B</w:t>
      </w:r>
      <w:r w:rsidRPr="00690F76">
        <w:t xml:space="preserve">oard. </w:t>
      </w:r>
      <w:r>
        <w:t xml:space="preserve">The </w:t>
      </w:r>
      <w:r w:rsidR="00310B8D">
        <w:t>next</w:t>
      </w:r>
      <w:r>
        <w:t xml:space="preserve"> review </w:t>
      </w:r>
      <w:r w:rsidR="00287D43">
        <w:t>by the Committee is on 9 March 2022</w:t>
      </w:r>
      <w:r w:rsidR="00EA182B">
        <w:t>.</w:t>
      </w:r>
    </w:p>
    <w:p w14:paraId="30F113F0" w14:textId="77777777" w:rsidR="00180D94" w:rsidRPr="003F5AF9" w:rsidRDefault="00180D94" w:rsidP="00180D94">
      <w:pPr>
        <w:autoSpaceDE w:val="0"/>
        <w:autoSpaceDN w:val="0"/>
        <w:adjustRightInd w:val="0"/>
        <w:ind w:left="426"/>
        <w:rPr>
          <w:rFonts w:cs="Arial"/>
          <w:color w:val="000000"/>
          <w:szCs w:val="24"/>
          <w:lang w:eastAsia="en-GB"/>
        </w:rPr>
      </w:pPr>
    </w:p>
    <w:p w14:paraId="63673B0F" w14:textId="33363467" w:rsidR="00180D94" w:rsidRPr="00180D94" w:rsidRDefault="00180D94" w:rsidP="00180D94">
      <w:pPr>
        <w:numPr>
          <w:ilvl w:val="0"/>
          <w:numId w:val="16"/>
        </w:numPr>
        <w:autoSpaceDE w:val="0"/>
        <w:autoSpaceDN w:val="0"/>
        <w:adjustRightInd w:val="0"/>
        <w:ind w:left="426" w:hanging="426"/>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7F3D60FE" w14:textId="27532E63" w:rsidR="00180D94" w:rsidRPr="00180D94" w:rsidRDefault="00180D94" w:rsidP="00180D94">
      <w:pPr>
        <w:pStyle w:val="Heading2"/>
        <w:keepNext/>
        <w:spacing w:after="240"/>
        <w:rPr>
          <w:color w:val="000000"/>
          <w:szCs w:val="24"/>
          <w:lang w:eastAsia="en-GB"/>
        </w:rPr>
      </w:pPr>
      <w:r w:rsidRPr="004A2543">
        <w:t>Equalities implications</w:t>
      </w:r>
      <w:r>
        <w:t xml:space="preserve"> / Public Sector Equality Duty </w:t>
      </w:r>
    </w:p>
    <w:p w14:paraId="556E49AD" w14:textId="77777777" w:rsidR="00180D94" w:rsidRPr="00180D94" w:rsidRDefault="00FD31A0" w:rsidP="00FD31A0">
      <w:pPr>
        <w:numPr>
          <w:ilvl w:val="0"/>
          <w:numId w:val="16"/>
        </w:numPr>
        <w:autoSpaceDE w:val="0"/>
        <w:autoSpaceDN w:val="0"/>
        <w:adjustRightInd w:val="0"/>
        <w:ind w:left="426" w:hanging="426"/>
        <w:rPr>
          <w:rFonts w:cs="Arial"/>
          <w:color w:val="000000"/>
          <w:szCs w:val="24"/>
          <w:lang w:eastAsia="en-GB"/>
        </w:rPr>
      </w:pPr>
      <w:r w:rsidRPr="004A2543">
        <w:t xml:space="preserve">Was an Equality Impact Assessment carried out?  </w:t>
      </w:r>
      <w:r>
        <w:t>No</w:t>
      </w:r>
    </w:p>
    <w:p w14:paraId="79CE73A9" w14:textId="3C069F3B" w:rsidR="00180D94" w:rsidRDefault="00180D94" w:rsidP="00310B8D">
      <w:pPr>
        <w:autoSpaceDE w:val="0"/>
        <w:autoSpaceDN w:val="0"/>
        <w:adjustRightInd w:val="0"/>
        <w:spacing w:after="240"/>
        <w:ind w:left="426"/>
      </w:pPr>
      <w:r>
        <w:t>There are no direct equalities implications arising from this report.</w:t>
      </w:r>
    </w:p>
    <w:p w14:paraId="65175F71" w14:textId="77777777" w:rsidR="00540F51" w:rsidRDefault="00540F51" w:rsidP="00310B8D">
      <w:pPr>
        <w:autoSpaceDE w:val="0"/>
        <w:autoSpaceDN w:val="0"/>
        <w:adjustRightInd w:val="0"/>
        <w:spacing w:after="240"/>
        <w:ind w:left="426"/>
      </w:pPr>
    </w:p>
    <w:p w14:paraId="5779EA79" w14:textId="6A71C833" w:rsidR="00180D94" w:rsidRPr="00180D94" w:rsidRDefault="00180D94" w:rsidP="00180D94">
      <w:pPr>
        <w:pStyle w:val="Heading2"/>
        <w:spacing w:after="240"/>
        <w:rPr>
          <w:color w:val="000000"/>
          <w:szCs w:val="24"/>
          <w:lang w:eastAsia="en-GB"/>
        </w:rPr>
      </w:pPr>
      <w:r>
        <w:t xml:space="preserve">Council </w:t>
      </w:r>
      <w:r w:rsidRPr="00CD57D8">
        <w:t>Priorities</w:t>
      </w:r>
      <w:r w:rsidR="00FD31A0">
        <w:t xml:space="preserve"> </w:t>
      </w:r>
    </w:p>
    <w:p w14:paraId="0C2F27D8" w14:textId="3EC96163" w:rsidR="00FD31A0" w:rsidRPr="004A2543" w:rsidRDefault="00180D94" w:rsidP="00310B8D">
      <w:pPr>
        <w:numPr>
          <w:ilvl w:val="0"/>
          <w:numId w:val="16"/>
        </w:numPr>
        <w:autoSpaceDE w:val="0"/>
        <w:autoSpaceDN w:val="0"/>
        <w:adjustRightInd w:val="0"/>
        <w:spacing w:after="240"/>
        <w:ind w:left="426" w:hanging="426"/>
      </w:pPr>
      <w:r w:rsidRPr="00310B8D">
        <w:rPr>
          <w:szCs w:val="24"/>
          <w:lang w:val="en-US"/>
        </w:rPr>
        <w:t>The performance of the Pension Fund directly affects the level of employer contribution which then, in turn, affects the resources available for the Council’s priorities</w:t>
      </w:r>
      <w:r w:rsidR="00F22AA0" w:rsidRPr="00310B8D">
        <w:rPr>
          <w:szCs w:val="24"/>
          <w:lang w:val="en-US"/>
        </w:rPr>
        <w:t>.</w:t>
      </w:r>
      <w:r>
        <w:t xml:space="preserve"> </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6087D88F" w:rsidR="00912904" w:rsidRPr="00A66326" w:rsidRDefault="00912904" w:rsidP="00912904">
      <w:pPr>
        <w:rPr>
          <w:sz w:val="28"/>
        </w:rPr>
      </w:pPr>
      <w:r w:rsidRPr="00A66326">
        <w:rPr>
          <w:b/>
          <w:sz w:val="28"/>
        </w:rPr>
        <w:t xml:space="preserve">Statutory Officer:  </w:t>
      </w:r>
      <w:r w:rsidR="001C687F">
        <w:rPr>
          <w:b/>
          <w:sz w:val="28"/>
        </w:rPr>
        <w:t>Dawn Calvert</w:t>
      </w:r>
    </w:p>
    <w:p w14:paraId="57640BD9" w14:textId="64851CBC" w:rsidR="00912904" w:rsidRDefault="00912904" w:rsidP="00310B8D">
      <w:pPr>
        <w:spacing w:after="240"/>
      </w:pPr>
      <w:r w:rsidRPr="00A66326">
        <w:t>Signed by the Chief Financial Officer</w:t>
      </w:r>
    </w:p>
    <w:p w14:paraId="5745A2E3" w14:textId="5A35AC8E" w:rsidR="00912904" w:rsidRPr="00A66326" w:rsidRDefault="00912904" w:rsidP="00912904">
      <w:pPr>
        <w:spacing w:after="480"/>
        <w:rPr>
          <w:sz w:val="28"/>
        </w:rPr>
      </w:pPr>
      <w:r w:rsidRPr="00A66326">
        <w:rPr>
          <w:b/>
          <w:sz w:val="28"/>
        </w:rPr>
        <w:t xml:space="preserve">Date:  </w:t>
      </w:r>
      <w:r w:rsidR="001C687F">
        <w:rPr>
          <w:b/>
          <w:sz w:val="28"/>
        </w:rPr>
        <w:t>09/02/2022</w:t>
      </w:r>
    </w:p>
    <w:p w14:paraId="2586CC50" w14:textId="515CD549" w:rsidR="00912904" w:rsidRPr="00A66326" w:rsidRDefault="00912904" w:rsidP="00912904">
      <w:pPr>
        <w:rPr>
          <w:sz w:val="28"/>
        </w:rPr>
      </w:pPr>
      <w:r w:rsidRPr="00A66326">
        <w:rPr>
          <w:b/>
          <w:sz w:val="28"/>
        </w:rPr>
        <w:t xml:space="preserve">Statutory Officer:  </w:t>
      </w:r>
      <w:r w:rsidR="00134466">
        <w:rPr>
          <w:b/>
          <w:sz w:val="28"/>
        </w:rPr>
        <w:t>Sharon Clarke</w:t>
      </w:r>
    </w:p>
    <w:p w14:paraId="3F58D77A" w14:textId="60ABC8E9" w:rsidR="00912904" w:rsidRPr="00A66326" w:rsidRDefault="00912904" w:rsidP="00310B8D">
      <w:pPr>
        <w:spacing w:after="240"/>
      </w:pPr>
      <w:r w:rsidRPr="00A66326">
        <w:t>Signed on behalf of the Monitoring Officer</w:t>
      </w:r>
    </w:p>
    <w:p w14:paraId="61F8C7E6" w14:textId="7DA5C76D" w:rsidR="00912904" w:rsidRPr="003313EA" w:rsidRDefault="00912904" w:rsidP="00912904">
      <w:pPr>
        <w:spacing w:after="480"/>
        <w:rPr>
          <w:sz w:val="28"/>
        </w:rPr>
      </w:pPr>
      <w:r w:rsidRPr="00A66326">
        <w:rPr>
          <w:b/>
          <w:sz w:val="28"/>
        </w:rPr>
        <w:t xml:space="preserve">Date:  </w:t>
      </w:r>
      <w:r w:rsidR="00134466">
        <w:rPr>
          <w:b/>
          <w:sz w:val="28"/>
        </w:rPr>
        <w:t>09/02/2022</w:t>
      </w:r>
    </w:p>
    <w:p w14:paraId="2019A53D" w14:textId="714414F8" w:rsidR="00912904" w:rsidRPr="00A66326" w:rsidRDefault="004A4A1D" w:rsidP="00912904">
      <w:pPr>
        <w:rPr>
          <w:sz w:val="28"/>
        </w:rPr>
      </w:pPr>
      <w:r>
        <w:rPr>
          <w:b/>
          <w:sz w:val="28"/>
        </w:rPr>
        <w:t>Chief</w:t>
      </w:r>
      <w:r w:rsidR="00912904" w:rsidRPr="00A66326">
        <w:rPr>
          <w:b/>
          <w:sz w:val="28"/>
        </w:rPr>
        <w:t xml:space="preserve"> Officer: </w:t>
      </w:r>
      <w:r w:rsidR="00DB1C98">
        <w:rPr>
          <w:b/>
          <w:sz w:val="28"/>
        </w:rPr>
        <w:t xml:space="preserve"> </w:t>
      </w:r>
      <w:r w:rsidR="001C687F">
        <w:rPr>
          <w:b/>
          <w:sz w:val="28"/>
        </w:rPr>
        <w:t>Charlie Stewart</w:t>
      </w:r>
    </w:p>
    <w:p w14:paraId="12E4D11B" w14:textId="034641C0" w:rsidR="00912904" w:rsidRPr="00A66326" w:rsidRDefault="00365D29" w:rsidP="00310B8D">
      <w:pPr>
        <w:spacing w:after="240"/>
      </w:pPr>
      <w:r>
        <w:t>Signed</w:t>
      </w:r>
      <w:r w:rsidR="00912904" w:rsidRPr="00A66326">
        <w:t xml:space="preserve"> </w:t>
      </w:r>
      <w:r w:rsidR="00E117CE">
        <w:t xml:space="preserve">by </w:t>
      </w:r>
      <w:r w:rsidR="00912904" w:rsidRPr="00A66326">
        <w:t>the Corporate Director</w:t>
      </w:r>
    </w:p>
    <w:p w14:paraId="21482980" w14:textId="260032AB" w:rsidR="00912904" w:rsidRPr="00A66326" w:rsidRDefault="00912904" w:rsidP="00960BF7">
      <w:pPr>
        <w:tabs>
          <w:tab w:val="left" w:pos="2040"/>
        </w:tabs>
        <w:spacing w:after="480"/>
        <w:rPr>
          <w:sz w:val="28"/>
        </w:rPr>
      </w:pPr>
      <w:r w:rsidRPr="00A66326">
        <w:rPr>
          <w:b/>
          <w:sz w:val="28"/>
        </w:rPr>
        <w:t xml:space="preserve">Date:  </w:t>
      </w:r>
      <w:r w:rsidR="001C687F">
        <w:rPr>
          <w:b/>
          <w:sz w:val="28"/>
        </w:rPr>
        <w:t>09/02/2022</w:t>
      </w:r>
    </w:p>
    <w:p w14:paraId="686CE5D8" w14:textId="77777777" w:rsidR="00912904" w:rsidRPr="00435B5D" w:rsidRDefault="00912904" w:rsidP="00912904">
      <w:pPr>
        <w:pStyle w:val="Heading2"/>
        <w:spacing w:after="240"/>
      </w:pPr>
      <w:r>
        <w:t>Mandatory Checks</w:t>
      </w:r>
    </w:p>
    <w:p w14:paraId="71FBC41D" w14:textId="14DE02B4" w:rsidR="00912904" w:rsidRPr="003313EA" w:rsidRDefault="00912904" w:rsidP="00310B8D">
      <w:pPr>
        <w:pStyle w:val="Heading3"/>
        <w:spacing w:after="240"/>
        <w:ind w:left="0" w:firstLine="0"/>
        <w:rPr>
          <w:i/>
          <w:color w:val="FF0000"/>
          <w:szCs w:val="24"/>
        </w:rPr>
      </w:pPr>
      <w:r w:rsidRPr="00E90AFF">
        <w:rPr>
          <w:sz w:val="28"/>
        </w:rPr>
        <w:t xml:space="preserve">Ward Councillors notified:  </w:t>
      </w:r>
      <w:r w:rsidR="00180D94">
        <w:rPr>
          <w:sz w:val="28"/>
        </w:rPr>
        <w:t>Not applicable</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5043159A" w14:textId="1C2BD613" w:rsidR="00180D94" w:rsidRDefault="002A2389" w:rsidP="00180D94">
      <w:pPr>
        <w:pStyle w:val="Infotext"/>
        <w:rPr>
          <w:sz w:val="24"/>
          <w:szCs w:val="24"/>
        </w:rPr>
      </w:pPr>
      <w:r w:rsidRPr="00D914D2">
        <w:rPr>
          <w:b/>
        </w:rPr>
        <w:t>Contact:</w:t>
      </w:r>
      <w:r>
        <w:t xml:space="preserve">  </w:t>
      </w:r>
      <w:r w:rsidR="00180D94" w:rsidRPr="00A175BD">
        <w:rPr>
          <w:sz w:val="24"/>
          <w:szCs w:val="24"/>
        </w:rPr>
        <w:t xml:space="preserve">Jeremy Randall – Interim Pensions </w:t>
      </w:r>
      <w:r w:rsidR="00180D94">
        <w:rPr>
          <w:sz w:val="24"/>
          <w:szCs w:val="24"/>
        </w:rPr>
        <w:t>Manager</w:t>
      </w:r>
    </w:p>
    <w:p w14:paraId="38A0A7A9" w14:textId="77777777" w:rsidR="00180D94" w:rsidRDefault="00180D94" w:rsidP="00180D94">
      <w:pPr>
        <w:pStyle w:val="Infotext"/>
        <w:rPr>
          <w:rStyle w:val="Hyperlink"/>
          <w:sz w:val="24"/>
          <w:szCs w:val="24"/>
        </w:rPr>
      </w:pPr>
      <w:r w:rsidRPr="00A175BD">
        <w:rPr>
          <w:sz w:val="24"/>
          <w:szCs w:val="24"/>
        </w:rPr>
        <w:t xml:space="preserve">Email: </w:t>
      </w:r>
      <w:hyperlink r:id="rId11" w:history="1">
        <w:r w:rsidRPr="00A175BD">
          <w:rPr>
            <w:rStyle w:val="Hyperlink"/>
            <w:sz w:val="24"/>
            <w:szCs w:val="24"/>
          </w:rPr>
          <w:t>Jeremy.randall@harrow.gov.uk</w:t>
        </w:r>
      </w:hyperlink>
    </w:p>
    <w:p w14:paraId="064CDBC2" w14:textId="77777777" w:rsidR="00180D94" w:rsidRPr="00DD6270" w:rsidRDefault="00180D94" w:rsidP="00180D94">
      <w:pPr>
        <w:pStyle w:val="Infotext"/>
      </w:pPr>
      <w:r w:rsidRPr="00DD6270">
        <w:rPr>
          <w:rStyle w:val="Hyperlink"/>
          <w:color w:val="auto"/>
          <w:sz w:val="24"/>
          <w:szCs w:val="24"/>
          <w:u w:val="none"/>
        </w:rPr>
        <w:t>Telephone 020 8</w:t>
      </w:r>
      <w:r>
        <w:rPr>
          <w:rStyle w:val="Hyperlink"/>
          <w:color w:val="auto"/>
          <w:sz w:val="24"/>
          <w:szCs w:val="24"/>
          <w:u w:val="none"/>
        </w:rPr>
        <w:t>736 6552</w:t>
      </w:r>
    </w:p>
    <w:p w14:paraId="0AC2AC5C" w14:textId="618C4BE2" w:rsidR="00912904" w:rsidRDefault="002A2389" w:rsidP="00180D94">
      <w:pPr>
        <w:pStyle w:val="Infotext"/>
        <w:spacing w:before="360"/>
      </w:pPr>
      <w:r w:rsidRPr="00D914D2">
        <w:rPr>
          <w:b/>
        </w:rPr>
        <w:t>Background Papers</w:t>
      </w:r>
      <w:r>
        <w:t xml:space="preserve">:  </w:t>
      </w:r>
      <w:r w:rsidR="00180D94">
        <w:t xml:space="preserve">None </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C6ABC"/>
    <w:multiLevelType w:val="hybridMultilevel"/>
    <w:tmpl w:val="02DC182A"/>
    <w:lvl w:ilvl="0" w:tplc="AE7086E8">
      <w:start w:val="1"/>
      <w:numFmt w:val="decimal"/>
      <w:lvlText w:val="%1."/>
      <w:lvlJc w:val="left"/>
      <w:pPr>
        <w:tabs>
          <w:tab w:val="num" w:pos="584"/>
        </w:tabs>
        <w:ind w:left="584" w:hanging="397"/>
      </w:pPr>
      <w:rPr>
        <w:rFonts w:hint="default"/>
        <w:color w:val="auto"/>
      </w:rPr>
    </w:lvl>
    <w:lvl w:ilvl="1" w:tplc="04090019">
      <w:start w:val="1"/>
      <w:numFmt w:val="lowerLetter"/>
      <w:lvlText w:val="%2."/>
      <w:lvlJc w:val="left"/>
      <w:pPr>
        <w:tabs>
          <w:tab w:val="num" w:pos="1440"/>
        </w:tabs>
        <w:ind w:left="1440" w:hanging="360"/>
      </w:pPr>
    </w:lvl>
    <w:lvl w:ilvl="2" w:tplc="633EB7D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190517"/>
    <w:multiLevelType w:val="hybridMultilevel"/>
    <w:tmpl w:val="E130A9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C54C0"/>
    <w:multiLevelType w:val="hybridMultilevel"/>
    <w:tmpl w:val="D8DE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8257ED"/>
    <w:multiLevelType w:val="hybridMultilevel"/>
    <w:tmpl w:val="B2C009C4"/>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1"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2" w15:restartNumberingAfterBreak="0">
    <w:nsid w:val="4328212B"/>
    <w:multiLevelType w:val="hybridMultilevel"/>
    <w:tmpl w:val="734CAA6A"/>
    <w:lvl w:ilvl="0" w:tplc="EC9EE8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204CA"/>
    <w:multiLevelType w:val="hybridMultilevel"/>
    <w:tmpl w:val="F4168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484E38"/>
    <w:multiLevelType w:val="hybridMultilevel"/>
    <w:tmpl w:val="F3025F58"/>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CB5968"/>
    <w:multiLevelType w:val="hybridMultilevel"/>
    <w:tmpl w:val="8B385E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3E385A"/>
    <w:multiLevelType w:val="hybridMultilevel"/>
    <w:tmpl w:val="4B0EC8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9"/>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6"/>
  </w:num>
  <w:num w:numId="9">
    <w:abstractNumId w:val="3"/>
  </w:num>
  <w:num w:numId="10">
    <w:abstractNumId w:val="17"/>
  </w:num>
  <w:num w:numId="11">
    <w:abstractNumId w:val="24"/>
  </w:num>
  <w:num w:numId="12">
    <w:abstractNumId w:val="15"/>
  </w:num>
  <w:num w:numId="13">
    <w:abstractNumId w:val="2"/>
  </w:num>
  <w:num w:numId="14">
    <w:abstractNumId w:val="7"/>
  </w:num>
  <w:num w:numId="15">
    <w:abstractNumId w:val="13"/>
  </w:num>
  <w:num w:numId="16">
    <w:abstractNumId w:val="4"/>
  </w:num>
  <w:num w:numId="17">
    <w:abstractNumId w:val="8"/>
  </w:num>
  <w:num w:numId="18">
    <w:abstractNumId w:val="22"/>
  </w:num>
  <w:num w:numId="19">
    <w:abstractNumId w:val="0"/>
  </w:num>
  <w:num w:numId="20">
    <w:abstractNumId w:val="18"/>
  </w:num>
  <w:num w:numId="21">
    <w:abstractNumId w:val="23"/>
  </w:num>
  <w:num w:numId="22">
    <w:abstractNumId w:val="10"/>
  </w:num>
  <w:num w:numId="23">
    <w:abstractNumId w:val="16"/>
  </w:num>
  <w:num w:numId="24">
    <w:abstractNumId w:val="12"/>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3E4E"/>
    <w:rsid w:val="00023F4C"/>
    <w:rsid w:val="00056FF4"/>
    <w:rsid w:val="00057F10"/>
    <w:rsid w:val="000633A2"/>
    <w:rsid w:val="00071EB4"/>
    <w:rsid w:val="00077298"/>
    <w:rsid w:val="000967C9"/>
    <w:rsid w:val="000A58A1"/>
    <w:rsid w:val="000A6659"/>
    <w:rsid w:val="000B0E6F"/>
    <w:rsid w:val="000B6DBB"/>
    <w:rsid w:val="000D2BF2"/>
    <w:rsid w:val="000D5870"/>
    <w:rsid w:val="000F65C0"/>
    <w:rsid w:val="00134466"/>
    <w:rsid w:val="00134D55"/>
    <w:rsid w:val="00180D94"/>
    <w:rsid w:val="00182849"/>
    <w:rsid w:val="001939BA"/>
    <w:rsid w:val="001A6EB0"/>
    <w:rsid w:val="001B1046"/>
    <w:rsid w:val="001B3228"/>
    <w:rsid w:val="001B441D"/>
    <w:rsid w:val="001C449F"/>
    <w:rsid w:val="001C5225"/>
    <w:rsid w:val="001C687F"/>
    <w:rsid w:val="001D2297"/>
    <w:rsid w:val="001E0219"/>
    <w:rsid w:val="00213BE7"/>
    <w:rsid w:val="00231A1D"/>
    <w:rsid w:val="00244120"/>
    <w:rsid w:val="0024456F"/>
    <w:rsid w:val="00287D43"/>
    <w:rsid w:val="00293F9F"/>
    <w:rsid w:val="002A2389"/>
    <w:rsid w:val="002B62F0"/>
    <w:rsid w:val="002C08E2"/>
    <w:rsid w:val="002C1794"/>
    <w:rsid w:val="002D2FC5"/>
    <w:rsid w:val="002E6637"/>
    <w:rsid w:val="002E77E3"/>
    <w:rsid w:val="002F0E81"/>
    <w:rsid w:val="003007D9"/>
    <w:rsid w:val="00310B8D"/>
    <w:rsid w:val="00332947"/>
    <w:rsid w:val="00333EB4"/>
    <w:rsid w:val="00345915"/>
    <w:rsid w:val="00365C6B"/>
    <w:rsid w:val="00365D29"/>
    <w:rsid w:val="00374F22"/>
    <w:rsid w:val="00385716"/>
    <w:rsid w:val="003D2FFE"/>
    <w:rsid w:val="003D5F0A"/>
    <w:rsid w:val="003D73DF"/>
    <w:rsid w:val="00400032"/>
    <w:rsid w:val="0042394B"/>
    <w:rsid w:val="00464CE5"/>
    <w:rsid w:val="00473B08"/>
    <w:rsid w:val="00474B5F"/>
    <w:rsid w:val="00497308"/>
    <w:rsid w:val="004A3CE6"/>
    <w:rsid w:val="004A4A1D"/>
    <w:rsid w:val="004B2C9D"/>
    <w:rsid w:val="004B4A47"/>
    <w:rsid w:val="004E667D"/>
    <w:rsid w:val="004E6AF9"/>
    <w:rsid w:val="005031DF"/>
    <w:rsid w:val="00534BAA"/>
    <w:rsid w:val="00540F51"/>
    <w:rsid w:val="00597314"/>
    <w:rsid w:val="005A61AF"/>
    <w:rsid w:val="005D0886"/>
    <w:rsid w:val="005E384D"/>
    <w:rsid w:val="005E6176"/>
    <w:rsid w:val="005F2181"/>
    <w:rsid w:val="005F61BC"/>
    <w:rsid w:val="005F724B"/>
    <w:rsid w:val="00606705"/>
    <w:rsid w:val="00621EA4"/>
    <w:rsid w:val="00625DFF"/>
    <w:rsid w:val="0063072B"/>
    <w:rsid w:val="00662891"/>
    <w:rsid w:val="006628B7"/>
    <w:rsid w:val="006667A6"/>
    <w:rsid w:val="00675FCB"/>
    <w:rsid w:val="00687C72"/>
    <w:rsid w:val="006A0B87"/>
    <w:rsid w:val="006B3942"/>
    <w:rsid w:val="006B7DC6"/>
    <w:rsid w:val="006C3914"/>
    <w:rsid w:val="006C4D4C"/>
    <w:rsid w:val="006D3648"/>
    <w:rsid w:val="006D6B23"/>
    <w:rsid w:val="006F6D50"/>
    <w:rsid w:val="00702F85"/>
    <w:rsid w:val="00717E8A"/>
    <w:rsid w:val="0074184E"/>
    <w:rsid w:val="00743829"/>
    <w:rsid w:val="00755F8D"/>
    <w:rsid w:val="007808A7"/>
    <w:rsid w:val="007855AE"/>
    <w:rsid w:val="00791A90"/>
    <w:rsid w:val="00796503"/>
    <w:rsid w:val="007B0CB6"/>
    <w:rsid w:val="007B3099"/>
    <w:rsid w:val="007B4F2C"/>
    <w:rsid w:val="007D2BDA"/>
    <w:rsid w:val="007D56C8"/>
    <w:rsid w:val="007E3934"/>
    <w:rsid w:val="007E7303"/>
    <w:rsid w:val="008212A0"/>
    <w:rsid w:val="008306D5"/>
    <w:rsid w:val="00837F53"/>
    <w:rsid w:val="00862DDC"/>
    <w:rsid w:val="00871B32"/>
    <w:rsid w:val="008D1750"/>
    <w:rsid w:val="008D7800"/>
    <w:rsid w:val="008E2910"/>
    <w:rsid w:val="008E4913"/>
    <w:rsid w:val="00900464"/>
    <w:rsid w:val="0090100E"/>
    <w:rsid w:val="00912904"/>
    <w:rsid w:val="00922249"/>
    <w:rsid w:val="0093767E"/>
    <w:rsid w:val="00960BF7"/>
    <w:rsid w:val="00964ADC"/>
    <w:rsid w:val="00972A02"/>
    <w:rsid w:val="0099517C"/>
    <w:rsid w:val="009A0937"/>
    <w:rsid w:val="009B2ECD"/>
    <w:rsid w:val="009B7914"/>
    <w:rsid w:val="009F430B"/>
    <w:rsid w:val="00A00E2B"/>
    <w:rsid w:val="00A160B2"/>
    <w:rsid w:val="00A16271"/>
    <w:rsid w:val="00A566E7"/>
    <w:rsid w:val="00A630BF"/>
    <w:rsid w:val="00A73B25"/>
    <w:rsid w:val="00A80313"/>
    <w:rsid w:val="00A940D3"/>
    <w:rsid w:val="00A96FCA"/>
    <w:rsid w:val="00AA4BE8"/>
    <w:rsid w:val="00AB1EE3"/>
    <w:rsid w:val="00AC0AAB"/>
    <w:rsid w:val="00AC7BA9"/>
    <w:rsid w:val="00B0425E"/>
    <w:rsid w:val="00B26886"/>
    <w:rsid w:val="00B84A87"/>
    <w:rsid w:val="00B900E2"/>
    <w:rsid w:val="00B9118E"/>
    <w:rsid w:val="00BD6115"/>
    <w:rsid w:val="00BD684A"/>
    <w:rsid w:val="00C05E9C"/>
    <w:rsid w:val="00C32DAE"/>
    <w:rsid w:val="00C40E24"/>
    <w:rsid w:val="00C51C49"/>
    <w:rsid w:val="00C61B80"/>
    <w:rsid w:val="00C92D9A"/>
    <w:rsid w:val="00C96EF5"/>
    <w:rsid w:val="00CA2A23"/>
    <w:rsid w:val="00CF1C4A"/>
    <w:rsid w:val="00D05750"/>
    <w:rsid w:val="00D25064"/>
    <w:rsid w:val="00D32B51"/>
    <w:rsid w:val="00D34668"/>
    <w:rsid w:val="00D3740E"/>
    <w:rsid w:val="00D40335"/>
    <w:rsid w:val="00D51303"/>
    <w:rsid w:val="00D54D7D"/>
    <w:rsid w:val="00D56DE2"/>
    <w:rsid w:val="00D82F57"/>
    <w:rsid w:val="00D841A5"/>
    <w:rsid w:val="00D914D2"/>
    <w:rsid w:val="00D92107"/>
    <w:rsid w:val="00DA25DB"/>
    <w:rsid w:val="00DB0791"/>
    <w:rsid w:val="00DB1C98"/>
    <w:rsid w:val="00DD4251"/>
    <w:rsid w:val="00E02B50"/>
    <w:rsid w:val="00E03F11"/>
    <w:rsid w:val="00E06DC8"/>
    <w:rsid w:val="00E117CE"/>
    <w:rsid w:val="00E16F4A"/>
    <w:rsid w:val="00E220B5"/>
    <w:rsid w:val="00E2344F"/>
    <w:rsid w:val="00E33D93"/>
    <w:rsid w:val="00E609EF"/>
    <w:rsid w:val="00E8111D"/>
    <w:rsid w:val="00E8515B"/>
    <w:rsid w:val="00E90AFF"/>
    <w:rsid w:val="00EA0AE0"/>
    <w:rsid w:val="00EA182B"/>
    <w:rsid w:val="00EC70CD"/>
    <w:rsid w:val="00EE6118"/>
    <w:rsid w:val="00EF2F91"/>
    <w:rsid w:val="00F136E9"/>
    <w:rsid w:val="00F22AA0"/>
    <w:rsid w:val="00F33EE3"/>
    <w:rsid w:val="00F4213B"/>
    <w:rsid w:val="00F44423"/>
    <w:rsid w:val="00F806B8"/>
    <w:rsid w:val="00F849ED"/>
    <w:rsid w:val="00F92398"/>
    <w:rsid w:val="00FD31A0"/>
    <w:rsid w:val="00FF2B1A"/>
    <w:rsid w:val="00FF677E"/>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2.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Kemp</cp:lastModifiedBy>
  <cp:revision>3</cp:revision>
  <cp:lastPrinted>2007-07-12T09:53:00Z</cp:lastPrinted>
  <dcterms:created xsi:type="dcterms:W3CDTF">2022-02-23T14:57:00Z</dcterms:created>
  <dcterms:modified xsi:type="dcterms:W3CDTF">2022-02-23T15:03:00Z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